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49</w:t>
      </w:r>
    </w:p>
    <w:p>
      <w:r>
        <w:drawing>
          <wp:inline xmlns:a="http://schemas.openxmlformats.org/drawingml/2006/main" xmlns:pic="http://schemas.openxmlformats.org/drawingml/2006/picture">
            <wp:extent cx="5486400" cy="36964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9.df-med-img.1237cbc4-ce3f-42b5-977d-70226824a1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6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1237cbc4-ce3f-42b5-977d-70226824a162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Household No. 7, Baatar’s children.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research participants</w:t>
      </w:r>
    </w:p>
    <w:p>
      <w:pPr>
        <w:pStyle w:val="Heading3"/>
      </w:pPr>
      <w:r>
        <w:t>date</w:t>
      </w:r>
    </w:p>
    <w:p>
      <w:r>
        <w:t>ca. 2000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1755x1182 px</w:t>
      </w:r>
    </w:p>
    <w:p>
      <w:r>
        <w:t>3.0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