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41</w:t>
      </w:r>
    </w:p>
    <w:p>
      <w:r>
        <w:drawing>
          <wp:inline xmlns:a="http://schemas.openxmlformats.org/drawingml/2006/main" xmlns:pic="http://schemas.openxmlformats.org/drawingml/2006/picture">
            <wp:extent cx="5486400" cy="368960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41.df-med-img.13bf8325-c4cf-4961-acfe-56268ddecb1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96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13bf8325-c4cf-4961-acfe-56268ddecb13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One of the many wells in Dashbalbar sum centre.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settlements</w:t>
      </w:r>
    </w:p>
    <w:p>
      <w:r>
        <w:t>water use</w:t>
      </w:r>
    </w:p>
    <w:p>
      <w:r>
        <w:t>wells</w:t>
      </w:r>
    </w:p>
    <w:p>
      <w:pPr>
        <w:pStyle w:val="Heading3"/>
      </w:pPr>
      <w:r>
        <w:t>date</w:t>
      </w:r>
    </w:p>
    <w:p>
      <w:r>
        <w:t>ca. 1993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bair-batbuyan-photos-41.png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1756x1181 px</w:t>
      </w:r>
    </w:p>
    <w:p>
      <w:r>
        <w:t>2.7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