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4.df-med-img.1b39963e-5506-4d11-9207-7dad5cbb977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1b39963e-5506-4d11-9207-7dad5cbb977f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Children playing.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Humphrey-Buryatia-photos-2-14.png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