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090744B with Osor (b. 1955):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90744B-Osor-translation.df-med-img.21786dd4-aee6-4e8e-b53b-bbe42bb0fad5.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21786dd4-aee6-4e8e-b53b-bbe42bb0fad5</w:t>
      </w:r>
    </w:p>
    <w:p>
      <w:pPr>
        <w:pStyle w:val="Heading3"/>
      </w:pPr>
      <w:r>
        <w:t>creator</w:t>
      </w:r>
    </w:p>
    <w:p>
      <w:r>
        <w:t>Osor</w:t>
      </w:r>
    </w:p>
    <w:p>
      <w:pPr>
        <w:pStyle w:val="Heading3"/>
      </w:pPr>
      <w:r>
        <w:t>type</w:t>
      </w:r>
    </w:p>
    <w:p>
      <w:r>
        <w:t>Text</w:t>
      </w:r>
    </w:p>
    <w:p>
      <w:pPr>
        <w:pStyle w:val="Heading3"/>
      </w:pPr>
      <w:r>
        <w:t>coverage</w:t>
      </w:r>
    </w:p>
    <w:p>
      <w:r>
        <w:t>Bulgan aimag</w:t>
      </w:r>
    </w:p>
    <w:p>
      <w:r>
        <w:t>Mongolia</w:t>
      </w:r>
    </w:p>
    <w:p>
      <w:pPr>
        <w:pStyle w:val="Heading3"/>
      </w:pPr>
      <w:r>
        <w:t>description</w:t>
      </w:r>
    </w:p>
    <w:p>
      <w:r>
        <w:t>In the second part of his interview, Osor talked extensively about horses. He never imagined himself learning and becoming educated. He always thought of busying himself with horses. He was fond of horses, so starting with his youth and until these days he has lived this life thinking only about horses and race horses. Horses are blessed animals. There’s no Mongolian who doesn’t like a horse. Race horses occupy an important place in the lives of the Mongolians. He talked in detail about how to examine and identify the race horses, how to fix the tethering, how they are classified by their shapes and types. He also mentioned about riding race horses, about repression, the cultural campaigns, religion, lamas and the saints. He also talked about how the women’s position is changing in Mongolia, the men’s and women’s relations, the women’s social position and other relations concerning men and women.</w:t>
      </w:r>
    </w:p>
    <w:p>
      <w:pPr>
        <w:pStyle w:val="Heading3"/>
      </w:pPr>
      <w:r>
        <w:t>publisher</w:t>
      </w:r>
    </w:p>
    <w:p>
      <w:r>
        <w:t>Oral History of Twentieth Century Mongolia</w:t>
      </w:r>
    </w:p>
    <w:p>
      <w:pPr>
        <w:pStyle w:val="Heading3"/>
      </w:pPr>
      <w:r>
        <w:t>source</w:t>
      </w:r>
    </w:p>
    <w:p>
      <w:r>
        <w:t>&lt;http://amantuuh.socanth.cam.ac.uk/search/view_trans.php?Interview=090744B&gt;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gender</w:t>
      </w:r>
    </w:p>
    <w:p>
      <w:r>
        <w:t>horse races</w:t>
      </w:r>
    </w:p>
    <w:p>
      <w:r>
        <w:t>oral history</w:t>
      </w:r>
    </w:p>
    <w:p>
      <w:r>
        <w:t>wedding</w:t>
      </w:r>
    </w:p>
    <w:p>
      <w:pPr>
        <w:pStyle w:val="Heading3"/>
      </w:pPr>
      <w:r>
        <w:t>date</w:t>
      </w:r>
    </w:p>
    <w:p>
      <w:r>
        <w:t>2009</w:t>
      </w:r>
    </w:p>
    <w:p>
      <w:pPr>
        <w:pStyle w:val="Heading3"/>
      </w:pPr>
      <w:r>
        <w:t>language</w:t>
      </w:r>
    </w:p>
    <w:p>
      <w:r>
        <w:t>English</w:t>
      </w:r>
    </w:p>
    <w:p>
      <w:pPr>
        <w:pStyle w:val="Heading3"/>
      </w:pPr>
      <w:r>
        <w:t>format</w:t>
      </w:r>
    </w:p>
    <w:p>
      <w:r>
        <w:t>text/plain</w:t>
      </w:r>
    </w:p>
    <w:p>
      <w:pPr>
        <w:pStyle w:val="Heading3"/>
      </w:pPr>
      <w:r>
        <w:t>contributor</w:t>
      </w:r>
    </w:p>
    <w:p>
      <w:r>
        <w:t>Khishigsüren</w:t>
      </w:r>
    </w:p>
    <w:p>
      <w:pPr>
        <w:pStyle w:val="Heading3"/>
      </w:pPr>
      <w:r>
        <w:t>original filename</w:t>
      </w:r>
    </w:p>
    <w:p>
      <w:r>
        <w:t>090744B-Osor-translation.url</w:t>
      </w:r>
    </w:p>
    <w:p>
      <w:pPr>
        <w:pStyle w:val="Heading3"/>
      </w:pPr>
      <w:r>
        <w:t>relation</w:t>
      </w:r>
    </w:p>
    <w:p>
      <w:r>
        <w:t>dd6e48dc-67b2-4791-b3d4-4761bab0ce76</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