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Idealist database input flowchart</w:t>
      </w:r>
    </w:p>
    <w:p>
      <w:r>
        <w:drawing>
          <wp:inline xmlns:a="http://schemas.openxmlformats.org/drawingml/2006/main" xmlns:pic="http://schemas.openxmlformats.org/drawingml/2006/picture">
            <wp:extent cx="25847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carthur-database-input-flowchart.df-med-img.2819b6b6-74f6-4f69-af1f-2b17b493470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2819b6b6-74f6-4f69-af1f-2b17b4934703</w:t>
      </w:r>
    </w:p>
    <w:p>
      <w:pPr>
        <w:pStyle w:val="Heading3"/>
      </w:pPr>
      <w:r>
        <w:t>creator</w:t>
      </w:r>
    </w:p>
    <w:p>
      <w:r>
        <w:t>Chopping, Mark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Flowchart outlining the steps for preparing and inputting data from ethnographic interviews. The transcript or summary from each interview was first typed in a word processor (Claris Works), using designated codes to identify each question and response. This text was then imported into a database that allowed simple keyword and full-text searching of interview data, as well as filtering by location, question, and respondent type.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an original document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data entry</w:t>
      </w:r>
    </w:p>
    <w:p>
      <w:pPr>
        <w:pStyle w:val="Heading3"/>
      </w:pPr>
      <w:r>
        <w:t>date</w:t>
      </w:r>
    </w:p>
    <w:p>
      <w:r>
        <w:t>ca. 1992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original filename</w:t>
      </w:r>
    </w:p>
    <w:p>
      <w:r>
        <w:t>macarthur-database-input-flowchart.pdf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200.7 KiB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modified</w:t>
      </w:r>
    </w:p>
    <w:p>
      <w:r>
        <w:t>2017-05-25 18:47:26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