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43</w:t>
      </w:r>
    </w:p>
    <w:p>
      <w:r>
        <w:drawing>
          <wp:inline xmlns:a="http://schemas.openxmlformats.org/drawingml/2006/main" xmlns:pic="http://schemas.openxmlformats.org/drawingml/2006/picture">
            <wp:extent cx="5486400" cy="369646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43.df-med-img.3aa9ce04-dd46-43ce-8211-194b389a980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646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3aa9ce04-dd46-43ce-8211-194b389a980f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Disused stone enclosure, formerly used during the collectivized period.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livestock enclosures</w:t>
      </w:r>
    </w:p>
    <w:p>
      <w:r>
        <w:t>pastoral camps</w:t>
      </w:r>
    </w:p>
    <w:p>
      <w:pPr>
        <w:pStyle w:val="Heading3"/>
      </w:pPr>
      <w:r>
        <w:t>date</w:t>
      </w:r>
    </w:p>
    <w:p>
      <w:r>
        <w:t>ca. 1994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bair-batbuyan-photos-43.png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1755x1182 px</w:t>
      </w:r>
    </w:p>
    <w:p>
      <w:r>
        <w:t>2.8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