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09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09.df-med-img.40697baa-29d7-41d5-b55c-17c5ca7ea67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40697baa-29d7-41d5-b55c-17c5ca7ea67a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View from the train window, Xilingol.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steppe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sneath-inner-mongolia-1980s.png_09.png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3.0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11:02:42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