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03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03.df-med-img.44c708b5-9eac-423f-b95c-382c14deb71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44c708b5-9eac-423f-b95c-382c14deb719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r>
        <w:t>The Mongolian cultural centre and local government offices is</w:t>
      </w:r>
    </w:p>
    <w:p>
      <w:r>
        <w:t>the most visible building in Xingmeng.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03.tif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