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090213A with Nadmid (b. 1936): transcript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0213A-Nadmid-transcript.df-med-img.b0b61bb7-b992-497d-819f-51b5ba17003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b0b61bb7-b992-497d-819f-51b5ba17003e</w:t>
      </w:r>
    </w:p>
    <w:p>
      <w:pPr>
        <w:pStyle w:val="Heading3"/>
      </w:pPr>
      <w:r>
        <w:t>creator</w:t>
      </w:r>
    </w:p>
    <w:p>
      <w:r>
        <w:t>Nadmid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Sarantsetseg</w:t>
      </w:r>
    </w:p>
    <w:p>
      <w:pPr>
        <w:pStyle w:val="Heading3"/>
      </w:pPr>
      <w:r>
        <w:t>original filename</w:t>
      </w:r>
    </w:p>
    <w:p>
      <w:r>
        <w:t>090213A-Nadmid-transcript.url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79.0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