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Map of movements among participant households in Uvs</w:t>
      </w:r>
    </w:p>
    <w:p>
      <w:r>
        <w:drawing>
          <wp:inline xmlns:a="http://schemas.openxmlformats.org/drawingml/2006/main" xmlns:pic="http://schemas.openxmlformats.org/drawingml/2006/picture">
            <wp:extent cx="5486400" cy="388162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carthur-erdenebaatar-household-moves-map_1.df-med-img.b16a8fd5-d110-4b60-9831-10601d63cf5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62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b16a8fd5-d110-4b60-9831-10601d63cf5d</w:t>
      </w:r>
    </w:p>
    <w:p>
      <w:pPr>
        <w:pStyle w:val="Heading3"/>
      </w:pPr>
      <w:r>
        <w:t>creator</w:t>
      </w:r>
    </w:p>
    <w:p>
      <w:r>
        <w:t>Erdenebaatar, B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Uvs aimag</w:t>
      </w:r>
    </w:p>
    <w:p>
      <w:r>
        <w:t>Turgen sum</w:t>
      </w:r>
    </w:p>
    <w:p>
      <w:r>
        <w:t>Sagil sum</w:t>
      </w:r>
    </w:p>
    <w:p>
      <w:pPr>
        <w:pStyle w:val="Heading3"/>
      </w:pPr>
      <w:r>
        <w:t>description</w:t>
      </w:r>
    </w:p>
    <w:p>
      <w:r>
        <w:t>Taken from Erdenebaatar's report on mobility patterns (Appendix 9a). This map contrasts collective-era and post-collective mobility patterns among households who participated in ethnographic research.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an original document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mobility patterns</w:t>
      </w:r>
    </w:p>
    <w:p>
      <w:r>
        <w:t>maps</w:t>
      </w:r>
    </w:p>
    <w:p>
      <w:pPr>
        <w:pStyle w:val="Heading3"/>
      </w:pPr>
      <w:r>
        <w:t>date</w:t>
      </w:r>
    </w:p>
    <w:p>
      <w:r>
        <w:t>ca. 1992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macarthur-erdenebaatar-household-moves-map_1.png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208.9 KiB</w:t>
      </w:r>
    </w:p>
    <w:p>
      <w:r>
        <w:t>3507x2480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10:39:50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