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Темкагийн төрсөн өдөр ба Монгол төрийн “Хятаджих” бодлого | Caak.mn</w:t>
      </w:r>
    </w:p>
    <w:p>
      <w:r>
        <w:drawing>
          <wp:inline xmlns:a="http://schemas.openxmlformats.org/drawingml/2006/main" xmlns:pic="http://schemas.openxmlformats.org/drawingml/2006/picture">
            <wp:extent cx="523036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ak.mn.Temkaagiin_torson_odor.df-med-img.dbc62b6c-ee4e-4f51-8a4b-f98bc1373df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dbc62b6c-ee4e-4f51-8a4b-f98bc1373df2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http://www.caak.mn/view/8251060/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24 Mar 2014 17:55:10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caak.mn.Temkaagiin_torson_odor.url</w:t>
      </w:r>
    </w:p>
    <w:p>
      <w:pPr>
        <w:pStyle w:val="Heading3"/>
      </w:pPr>
      <w:r>
        <w:t>extent</w:t>
      </w:r>
    </w:p>
    <w:p>
      <w:r>
        <w:t>32.0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2018-03-26T17:10:51Z</dcterms:modified>
  <cp:revision>10</cp:revision>
  <dc:subject/>
  <dc:title>dbc62b6c-ee4e-4f51-8a4b-f98bc1373df2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