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Монголын угсаатны зүйн үндэс [Foundations of Mongolian ethnography]</w:t>
      </w:r>
    </w:p>
    <w:p>
      <w:r>
        <w:drawing>
          <wp:inline xmlns:a="http://schemas.openxmlformats.org/drawingml/2006/main" xmlns:pic="http://schemas.openxmlformats.org/drawingml/2006/picture">
            <wp:extent cx="2590800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ongolyn_Ugsaatny-zuin-undes.df-med-img.e13b89b2-c2ba-4500-afc1-55d8c6f82e8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e13b89b2-c2ba-4500-afc1-55d8c6f82e8c</w:t>
      </w:r>
    </w:p>
    <w:p>
      <w:pPr>
        <w:pStyle w:val="Heading3"/>
      </w:pPr>
      <w:r>
        <w:t>creator</w:t>
      </w:r>
    </w:p>
    <w:p>
      <w:r>
        <w:t>Bulag, Uradyn E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Essay on the origins of Mongolian ethnography</w:t>
      </w:r>
    </w:p>
    <w:p>
      <w:pPr>
        <w:pStyle w:val="Heading3"/>
      </w:pPr>
      <w:r>
        <w:t>publisher</w:t>
      </w:r>
    </w:p>
    <w:p>
      <w:r>
        <w:t>Institute of History, Mongolian Academy of Sciences</w:t>
      </w:r>
    </w:p>
    <w:p>
      <w:pPr>
        <w:pStyle w:val="Heading3"/>
      </w:pPr>
      <w:r>
        <w:t>source</w:t>
      </w:r>
    </w:p>
    <w:p>
      <w:r>
        <w:t xml:space="preserve">Studia Ethnologica 20(15): 210--227 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Mongolian ethnography</w:t>
      </w:r>
    </w:p>
    <w:p>
      <w:r>
        <w:t>indigenous anthropology</w:t>
      </w:r>
    </w:p>
    <w:p>
      <w:pPr>
        <w:pStyle w:val="Heading3"/>
      </w:pPr>
      <w:r>
        <w:t>date</w:t>
      </w:r>
    </w:p>
    <w:p>
      <w:r>
        <w:t>2011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extent</w:t>
      </w:r>
    </w:p>
    <w:p>
      <w:r>
        <w:t>253.0KiB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contributor</w:t>
      </w:r>
    </w:p>
    <w:p>
      <w:pPr>
        <w:pStyle w:val="Heading3"/>
      </w:pPr>
      <w:r>
        <w:t>relation</w:t>
      </w:r>
    </w:p>
    <w:p>
      <w:pPr>
        <w:pStyle w:val="Heading3"/>
      </w:pPr>
      <w:r>
        <w:t>original_filename</w:t>
      </w:r>
    </w:p>
    <w:p>
      <w:r>
        <w:t>Mongolyn_Ugsaatny-zuin-undes.pdf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