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and Inner Asia Studies</w:t>
      </w:r>
    </w:p>
    <w:p>
      <w:r>
        <w:drawing>
          <wp:inline xmlns:a="http://schemas.openxmlformats.org/drawingml/2006/main" xmlns:pic="http://schemas.openxmlformats.org/drawingml/2006/picture">
            <wp:extent cx="2584704" cy="3657600"/>
            <wp:docPr id="1" name="Picture 1"/>
            <wp:cNvGraphicFramePr>
              <a:graphicFrameLocks noChangeAspect="1"/>
            </wp:cNvGraphicFramePr>
            <a:graphic>
              <a:graphicData uri="http://schemas.openxmlformats.org/drawingml/2006/picture">
                <pic:pic>
                  <pic:nvPicPr>
                    <pic:cNvPr id="0" name="Bulag-note-Mongolia-and-Inner-Asia-studies.df-med-img.ec2a2c79-0225-44f4-9e0d-77e1a0b7a351.jpg"/>
                    <pic:cNvPicPr/>
                  </pic:nvPicPr>
                  <pic:blipFill>
                    <a:blip r:embed="rId9"/>
                    <a:stretch>
                      <a:fillRect/>
                    </a:stretch>
                  </pic:blipFill>
                  <pic:spPr>
                    <a:xfrm>
                      <a:off x="0" y="0"/>
                      <a:ext cx="2584704" cy="3657600"/>
                    </a:xfrm>
                    <a:prstGeom prst="rect"/>
                  </pic:spPr>
                </pic:pic>
              </a:graphicData>
            </a:graphic>
          </wp:inline>
        </w:drawing>
      </w:r>
    </w:p>
    <w:p>
      <w:pPr>
        <w:pStyle w:val="Heading3"/>
      </w:pPr>
      <w:r>
        <w:t>identifier</w:t>
      </w:r>
    </w:p>
    <w:p>
      <w:r>
        <w:t>ec2a2c79-0225-44f4-9e0d-77e1a0b7a351</w:t>
      </w:r>
    </w:p>
    <w:p>
      <w:pPr>
        <w:pStyle w:val="Heading3"/>
      </w:pPr>
      <w:r>
        <w:t>creator</w:t>
      </w:r>
    </w:p>
    <w:p>
      <w:r>
        <w:t>Bulag, Uradyn E</w:t>
      </w:r>
    </w:p>
    <w:p>
      <w:pPr>
        <w:pStyle w:val="Heading3"/>
      </w:pPr>
      <w:r>
        <w:t>type</w:t>
      </w:r>
    </w:p>
    <w:p>
      <w:r>
        <w:t>Text</w:t>
      </w:r>
    </w:p>
    <w:p>
      <w:pPr>
        <w:pStyle w:val="Heading3"/>
      </w:pPr>
      <w:r>
        <w:t>coverage</w:t>
      </w:r>
    </w:p>
    <w:p>
      <w:r>
        <w:t>Inner Asia</w:t>
      </w:r>
    </w:p>
    <w:p>
      <w:pPr>
        <w:pStyle w:val="Heading3"/>
      </w:pPr>
      <w:r>
        <w:t>description</w:t>
      </w:r>
    </w:p>
    <w:p>
      <w:r>
        <w:t>Short discussion note addressing the terminological category of “Mongolia and Inner Asia”. Bulag argues that whereas the concept of Inner Asia bears connotations of marginality, frontier, or hinterland status, Inner Asia must be brought out of the periphery and into the centre.</w:t>
      </w:r>
    </w:p>
    <w:p>
      <w:pPr>
        <w:pStyle w:val="Heading3"/>
      </w:pPr>
      <w:r>
        <w:t>publisher</w:t>
      </w:r>
    </w:p>
    <w:p>
      <w:pPr>
        <w:pStyle w:val="Heading3"/>
      </w:pPr>
      <w:r>
        <w:t>source</w:t>
      </w:r>
    </w:p>
    <w:p>
      <w:r>
        <w:t>Scanned from a printout held in the archives of the Mongolia and Inner Asia Studies Unit, University of Cambridge</w:t>
      </w:r>
    </w:p>
    <w:p>
      <w:pPr>
        <w:pStyle w:val="Heading3"/>
      </w:pPr>
      <w:r>
        <w:t>rights</w:t>
      </w:r>
    </w:p>
    <w:p>
      <w:pPr>
        <w:pStyle w:val="Heading3"/>
      </w:pPr>
      <w:r>
        <w:t>subject</w:t>
      </w:r>
    </w:p>
    <w:p>
      <w:r>
        <w:t>Inner Asia</w:t>
      </w:r>
    </w:p>
    <w:p>
      <w:r>
        <w:t>terminology</w:t>
      </w:r>
    </w:p>
    <w:p>
      <w:pPr>
        <w:pStyle w:val="Heading3"/>
      </w:pPr>
      <w:r>
        <w:t>date</w:t>
      </w:r>
    </w:p>
    <w:p>
      <w:r>
        <w:t>1996-12-09</w:t>
      </w:r>
    </w:p>
    <w:p>
      <w:pPr>
        <w:pStyle w:val="Heading3"/>
      </w:pPr>
      <w:r>
        <w:t>language</w:t>
      </w:r>
    </w:p>
    <w:p>
      <w:r>
        <w:t>English</w:t>
      </w:r>
    </w:p>
    <w:p>
      <w:pPr>
        <w:pStyle w:val="Heading3"/>
      </w:pPr>
      <w:r>
        <w:t>extent</w:t>
      </w:r>
    </w:p>
    <w:p>
      <w:r>
        <w:t>902.0KiB</w:t>
      </w:r>
    </w:p>
    <w:p>
      <w:pPr>
        <w:pStyle w:val="Heading3"/>
      </w:pPr>
      <w:r>
        <w:t>format</w:t>
      </w:r>
    </w:p>
    <w:p>
      <w:r>
        <w:t>application/pdf</w:t>
      </w:r>
    </w:p>
    <w:p>
      <w:pPr>
        <w:pStyle w:val="Heading3"/>
      </w:pPr>
      <w:r>
        <w:t>contributor</w:t>
      </w:r>
    </w:p>
    <w:p>
      <w:pPr>
        <w:pStyle w:val="Heading3"/>
      </w:pPr>
      <w:r>
        <w:t>relation</w:t>
      </w:r>
    </w:p>
    <w:p>
      <w:pPr>
        <w:pStyle w:val="Heading3"/>
      </w:pPr>
      <w:r>
        <w:t>original_filename</w:t>
      </w:r>
    </w:p>
    <w:p>
      <w:r>
        <w:t>Bulag-note-Mongolia-and-Inner-Asia-studies.pdf</w:t>
      </w:r>
    </w:p>
    <w:p>
      <w:pPr>
        <w:pStyle w:val="Heading3"/>
      </w:pPr>
      <w:r>
        <w:t>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